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sz w:val="88"/>
          <w:szCs w:val="88"/>
        </w:rPr>
        <w:t xml:space="preserve"/>
      </w:r>
    </w:p>
    <w:p>
      <w:pPr>
        <w:spacing w:after="80" w:before="0"/>
        <w:jc w:val="center"/>
      </w:pPr>
      <w:r>
        <w:rPr>
          <w:rFonts w:ascii="Arial" w:cs="Arial" w:eastAsia="Arial" w:hAnsi="Arial"/>
          <w:b/>
          <w:bCs/>
          <w:color w:val="1A3A5C"/>
          <w:sz w:val="52"/>
          <w:szCs w:val="52"/>
        </w:rPr>
        <w:t xml:space="preserve">CAHIER DES CHARGES</w:t>
      </w:r>
    </w:p>
    <w:p>
      <w:pPr>
        <w:spacing w:after="200" w:before="80"/>
        <w:jc w:val="center"/>
      </w:pPr>
      <w:r>
        <w:rPr>
          <w:rFonts w:ascii="Arial" w:cs="Arial" w:eastAsia="Arial" w:hAnsi="Arial"/>
          <w:color w:val="2E6EA6"/>
          <w:sz w:val="36"/>
          <w:szCs w:val="36"/>
        </w:rPr>
        <w:t xml:space="preserve">Projet de Média Web</w:t>
      </w:r>
    </w:p>
    <w:p>
      <w:pPr>
        <w:pBdr>
          <w:bottom w:val="single" w:color="D5E8F0" w:sz="4" w:space="1"/>
        </w:pBdr>
        <w:spacing w:after="120" w:before="120"/>
      </w:pPr>
      <w:r>
        <w:t xml:space="preserve"/>
      </w:r>
    </w:p>
    <w:p>
      <w:pPr>
        <w:spacing w:after="0" w:before="0"/>
      </w:pPr>
      <w:r>
        <w:rPr>
          <w:sz w:val="44"/>
          <w:szCs w:val="44"/>
        </w:rPr>
        <w:t xml:space="preserve"/>
      </w:r>
    </w:p>
    <w:p>
      <w:pPr>
        <w:spacing w:after="60" w:before="100"/>
        <w:jc w:val="center"/>
      </w:pPr>
      <w:r>
        <w:rPr>
          <w:rFonts w:ascii="Arial" w:cs="Arial" w:eastAsia="Arial" w:hAnsi="Arial"/>
          <w:i/>
          <w:iCs/>
          <w:color w:val="666666"/>
          <w:sz w:val="26"/>
          <w:szCs w:val="26"/>
        </w:rPr>
        <w:t xml:space="preserve">Application web type journal numérique</w:t>
      </w:r>
    </w:p>
    <w:p>
      <w:pPr>
        <w:spacing w:after="0" w:before="0"/>
      </w:pPr>
      <w:r>
        <w:rPr>
          <w:sz w:val="132"/>
          <w:szCs w:val="13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Arial" w:cs="Arial" w:eastAsia="Arial" w:hAnsi="Arial"/>
                <w:b/>
                <w:bCs/>
                <w:color w:val="666666"/>
                <w:sz w:val="22"/>
                <w:szCs w:val="22"/>
              </w:rPr>
              <w:t xml:space="preserve">Commanditaire</w:t>
            </w:r>
          </w:p>
        </w:tc>
        <w:tc>
          <w:tcPr>
            <w:tcW w:type="dxa" w:w="60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Arial" w:cs="Arial" w:eastAsia="Arial" w:hAnsi="Arial"/>
                <w:color w:val="333333"/>
                <w:sz w:val="22"/>
                <w:szCs w:val="22"/>
              </w:rPr>
              <w:t xml:space="preserve">[Nom du client]</w:t>
            </w:r>
          </w:p>
        </w:tc>
      </w:tr>
      <w:tr>
        <w:tc>
          <w:tcPr>
            <w:tcW w:type="dxa" w:w="30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Arial" w:cs="Arial" w:eastAsia="Arial" w:hAnsi="Arial"/>
                <w:b/>
                <w:bCs/>
                <w:color w:val="666666"/>
                <w:sz w:val="22"/>
                <w:szCs w:val="22"/>
              </w:rPr>
              <w:t xml:space="preserve">Prestataire</w:t>
            </w:r>
          </w:p>
        </w:tc>
        <w:tc>
          <w:tcPr>
            <w:tcW w:type="dxa" w:w="60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Arial" w:cs="Arial" w:eastAsia="Arial" w:hAnsi="Arial"/>
                <w:color w:val="333333"/>
                <w:sz w:val="22"/>
                <w:szCs w:val="22"/>
              </w:rPr>
              <w:t xml:space="preserve">[Votre nom / société]</w:t>
            </w:r>
          </w:p>
        </w:tc>
      </w:tr>
      <w:tr>
        <w:tc>
          <w:tcPr>
            <w:tcW w:type="dxa" w:w="30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Arial" w:cs="Arial" w:eastAsia="Arial" w:hAnsi="Arial"/>
                <w:b/>
                <w:bCs/>
                <w:color w:val="666666"/>
                <w:sz w:val="22"/>
                <w:szCs w:val="22"/>
              </w:rPr>
              <w:t xml:space="preserve">Version</w:t>
            </w:r>
          </w:p>
        </w:tc>
        <w:tc>
          <w:tcPr>
            <w:tcW w:type="dxa" w:w="60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Arial" w:cs="Arial" w:eastAsia="Arial" w:hAnsi="Arial"/>
                <w:color w:val="333333"/>
                <w:sz w:val="22"/>
                <w:szCs w:val="22"/>
              </w:rPr>
              <w:t xml:space="preserve">v1.0 — 3 avril 2026</w:t>
            </w:r>
          </w:p>
        </w:tc>
      </w:tr>
    </w:tbl>
    <w:p>
      <w:r>
        <w:br w:type="page"/>
      </w:r>
    </w:p>
    <w:p>
      <w:pPr>
        <w:pStyle w:val="Heading1"/>
        <w:spacing w:after="200" w:before="400"/>
      </w:pPr>
      <w:r>
        <w:rPr>
          <w:rFonts w:ascii="Arial" w:cs="Arial" w:eastAsia="Arial" w:hAnsi="Arial"/>
          <w:b/>
          <w:bCs/>
          <w:color w:val="1A3A5C"/>
          <w:sz w:val="32"/>
          <w:szCs w:val="32"/>
        </w:rPr>
        <w:t xml:space="preserve">1. Présentation du projet</w:t>
      </w:r>
    </w:p>
    <w:p>
      <w:pPr>
        <w:pBdr>
          <w:bottom w:val="single" w:color="D5E8F0" w:sz="4" w:space="1"/>
        </w:pBdr>
        <w:spacing w:after="120" w:before="120"/>
      </w:pPr>
      <w:r>
        <w:t xml:space="preserve"/>
      </w:r>
    </w:p>
    <w:p>
      <w:pPr>
        <w:pStyle w:val="Heading2"/>
        <w:spacing w:after="160" w:before="300"/>
      </w:pPr>
      <w:r>
        <w:rPr>
          <w:rFonts w:ascii="Arial" w:cs="Arial" w:eastAsia="Arial" w:hAnsi="Arial"/>
          <w:b/>
          <w:bCs/>
          <w:color w:val="2E6EA6"/>
          <w:sz w:val="26"/>
          <w:szCs w:val="26"/>
        </w:rPr>
        <w:t xml:space="preserve">1.1 Contexte et vision</w:t>
      </w:r>
    </w:p>
    <w:p>
      <w:pPr>
        <w:spacing w:after="80" w:before="80"/>
        <w:jc w:val="both"/>
      </w:pPr>
      <w:r>
        <w:rPr>
          <w:rFonts w:ascii="Arial" w:cs="Arial" w:eastAsia="Arial" w:hAnsi="Arial"/>
          <w:color w:val="333333"/>
          <w:sz w:val="22"/>
          <w:szCs w:val="22"/>
        </w:rPr>
        <w:t xml:space="preserve">Ce document définit les spécifications techniques et fonctionnelles pour la conception et le développement d'une application web de média numérique. L'objectif est de créer une plateforme éditoriale complète, comparable aux grands titres de presse en ligne (Le Monde, NYT), offrant une expérience de lecture moderne et des outils de publication performants.</w:t>
      </w:r>
    </w:p>
    <w:p>
      <w:pPr>
        <w:spacing w:after="0" w:before="0"/>
      </w:pPr>
      <w:r>
        <w:rPr>
          <w:sz w:val="22"/>
          <w:szCs w:val="22"/>
        </w:rPr>
        <w:t xml:space="preserve"/>
      </w:r>
    </w:p>
    <w:p>
      <w:pPr>
        <w:spacing w:after="80" w:before="80"/>
        <w:jc w:val="left"/>
      </w:pPr>
      <w:r>
        <w:rPr>
          <w:rFonts w:ascii="Arial" w:cs="Arial" w:eastAsia="Arial" w:hAnsi="Arial"/>
          <w:color w:val="333333"/>
          <w:sz w:val="22"/>
          <w:szCs w:val="22"/>
        </w:rPr>
        <w:t xml:space="preserve">Le projet est développé en solo, sans contrainte de deadline fixe, ce qui permet d'adopter une approche progressive et qualitative, phase par phase.</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1.2 Objectifs principaux</w:t>
      </w:r>
    </w:p>
    <w:p>
      <w:pPr>
        <w:pStyle w:val="ListParagraph"/>
        <w:numPr>
          <w:ilvl w:val="0"/>
          <w:numId w:val="2"/>
        </w:numPr>
        <w:spacing w:after="60" w:before="60"/>
      </w:pPr>
      <w:r>
        <w:rPr>
          <w:rFonts w:ascii="Arial" w:cs="Arial" w:eastAsia="Arial" w:hAnsi="Arial"/>
          <w:color w:val="333333"/>
          <w:sz w:val="22"/>
          <w:szCs w:val="22"/>
        </w:rPr>
        <w:t xml:space="preserve">Proposer une expérience de lecture fluide, rapide et responsive sur tous les appareils.</w:t>
      </w:r>
    </w:p>
    <w:p>
      <w:pPr>
        <w:pStyle w:val="ListParagraph"/>
        <w:numPr>
          <w:ilvl w:val="0"/>
          <w:numId w:val="2"/>
        </w:numPr>
        <w:spacing w:after="60" w:before="60"/>
      </w:pPr>
      <w:r>
        <w:rPr>
          <w:rFonts w:ascii="Arial" w:cs="Arial" w:eastAsia="Arial" w:hAnsi="Arial"/>
          <w:color w:val="333333"/>
          <w:sz w:val="22"/>
          <w:szCs w:val="22"/>
        </w:rPr>
        <w:t xml:space="preserve">Offrir un backoffice de publication complet avec workflow éditorial (brouillon → relecture → publication).</w:t>
      </w:r>
    </w:p>
    <w:p>
      <w:pPr>
        <w:pStyle w:val="ListParagraph"/>
        <w:numPr>
          <w:ilvl w:val="0"/>
          <w:numId w:val="2"/>
        </w:numPr>
        <w:spacing w:after="60" w:before="60"/>
      </w:pPr>
      <w:r>
        <w:rPr>
          <w:rFonts w:ascii="Arial" w:cs="Arial" w:eastAsia="Arial" w:hAnsi="Arial"/>
          <w:color w:val="333333"/>
          <w:sz w:val="22"/>
          <w:szCs w:val="22"/>
        </w:rPr>
        <w:t xml:space="preserve">Intégrer des mécanismes de monétisation (abonnement payant, modèle freemium).</w:t>
      </w:r>
    </w:p>
    <w:p>
      <w:pPr>
        <w:pStyle w:val="ListParagraph"/>
        <w:numPr>
          <w:ilvl w:val="0"/>
          <w:numId w:val="2"/>
        </w:numPr>
        <w:spacing w:after="60" w:before="60"/>
      </w:pPr>
      <w:r>
        <w:rPr>
          <w:rFonts w:ascii="Arial" w:cs="Arial" w:eastAsia="Arial" w:hAnsi="Arial"/>
          <w:color w:val="333333"/>
          <w:sz w:val="22"/>
          <w:szCs w:val="22"/>
        </w:rPr>
        <w:t xml:space="preserve">Garantir d'excellentes performances SEO pour maximiser la visibilité organique.</w:t>
      </w:r>
    </w:p>
    <w:p>
      <w:pPr>
        <w:pStyle w:val="ListParagraph"/>
        <w:numPr>
          <w:ilvl w:val="0"/>
          <w:numId w:val="2"/>
        </w:numPr>
        <w:spacing w:after="60" w:before="60"/>
      </w:pPr>
      <w:r>
        <w:rPr>
          <w:rFonts w:ascii="Arial" w:cs="Arial" w:eastAsia="Arial" w:hAnsi="Arial"/>
          <w:color w:val="333333"/>
          <w:sz w:val="22"/>
          <w:szCs w:val="22"/>
        </w:rPr>
        <w:t xml:space="preserve">Permettre une évolution progressive sans refonte majeure de l'architecture.</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1.3 Périmètre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Dans le périmètre</w:t>
            </w:r>
          </w:p>
        </w:tc>
        <w:tc>
          <w:tcPr>
            <w:tcW w:type="dxa" w:w="4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Hors périmètre (V1)</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Application web responsive</w:t>
            </w:r>
          </w:p>
        </w:tc>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Application mobile native (iOS/Android)</w:t>
            </w:r>
          </w:p>
        </w:tc>
      </w:tr>
      <w:tr>
        <w:tc>
          <w:tcPr>
            <w:tcW w:type="dxa" w:w="4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CMS headless intégré</w:t>
            </w:r>
          </w:p>
        </w:tc>
        <w:tc>
          <w:tcPr>
            <w:tcW w:type="dxa" w:w="4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Intégration réseaux sociaux avancée</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Système d'abonnement Stripe</w:t>
            </w:r>
          </w:p>
        </w:tc>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Application de podcast / vidéo live</w:t>
            </w:r>
          </w:p>
        </w:tc>
      </w:tr>
      <w:tr>
        <w:tc>
          <w:tcPr>
            <w:tcW w:type="dxa" w:w="4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Newsletter email</w:t>
            </w:r>
          </w:p>
        </w:tc>
        <w:tc>
          <w:tcPr>
            <w:tcW w:type="dxa" w:w="4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IA de recommandation d'articles</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Commentaires lecteurs</w:t>
            </w:r>
          </w:p>
        </w:tc>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Application mobile PWA (V2)</w:t>
            </w:r>
          </w:p>
        </w:tc>
      </w:tr>
    </w:tbl>
    <w:p>
      <w:r>
        <w:br w:type="page"/>
      </w:r>
    </w:p>
    <w:p>
      <w:pPr>
        <w:pStyle w:val="Heading1"/>
        <w:spacing w:after="200" w:before="400"/>
      </w:pPr>
      <w:r>
        <w:rPr>
          <w:rFonts w:ascii="Arial" w:cs="Arial" w:eastAsia="Arial" w:hAnsi="Arial"/>
          <w:b/>
          <w:bCs/>
          <w:color w:val="1A3A5C"/>
          <w:sz w:val="32"/>
          <w:szCs w:val="32"/>
        </w:rPr>
        <w:t xml:space="preserve">2. Fonctionnalités détaillées</w:t>
      </w:r>
    </w:p>
    <w:p>
      <w:pPr>
        <w:pBdr>
          <w:bottom w:val="single" w:color="D5E8F0" w:sz="4" w:space="1"/>
        </w:pBdr>
        <w:spacing w:after="120" w:before="120"/>
      </w:pPr>
      <w:r>
        <w:t xml:space="preserve"/>
      </w:r>
    </w:p>
    <w:p>
      <w:pPr>
        <w:pStyle w:val="Heading2"/>
        <w:spacing w:after="160" w:before="300"/>
      </w:pPr>
      <w:r>
        <w:rPr>
          <w:rFonts w:ascii="Arial" w:cs="Arial" w:eastAsia="Arial" w:hAnsi="Arial"/>
          <w:b/>
          <w:bCs/>
          <w:color w:val="2E6EA6"/>
          <w:sz w:val="26"/>
          <w:szCs w:val="26"/>
        </w:rPr>
        <w:t xml:space="preserve">2.1 Espace lecteur (Frontend public)</w:t>
      </w:r>
    </w:p>
    <w:p>
      <w:pPr>
        <w:spacing w:after="120" w:before="200"/>
      </w:pPr>
      <w:r>
        <w:rPr>
          <w:rFonts w:ascii="Arial" w:cs="Arial" w:eastAsia="Arial" w:hAnsi="Arial"/>
          <w:b/>
          <w:bCs/>
          <w:color w:val="1A3A5C"/>
          <w:sz w:val="22"/>
          <w:szCs w:val="22"/>
        </w:rPr>
        <w:t xml:space="preserve">Page d'accueil</w:t>
      </w:r>
    </w:p>
    <w:p>
      <w:pPr>
        <w:pStyle w:val="ListParagraph"/>
        <w:numPr>
          <w:ilvl w:val="0"/>
          <w:numId w:val="2"/>
        </w:numPr>
        <w:spacing w:after="60" w:before="60"/>
      </w:pPr>
      <w:r>
        <w:rPr>
          <w:rFonts w:ascii="Arial" w:cs="Arial" w:eastAsia="Arial" w:hAnsi="Arial"/>
          <w:color w:val="333333"/>
          <w:sz w:val="22"/>
          <w:szCs w:val="22"/>
        </w:rPr>
        <w:t xml:space="preserve">Article hero mis en avant avec grande image de couverture</w:t>
      </w:r>
    </w:p>
    <w:p>
      <w:pPr>
        <w:pStyle w:val="ListParagraph"/>
        <w:numPr>
          <w:ilvl w:val="0"/>
          <w:numId w:val="2"/>
        </w:numPr>
        <w:spacing w:after="60" w:before="60"/>
      </w:pPr>
      <w:r>
        <w:rPr>
          <w:rFonts w:ascii="Arial" w:cs="Arial" w:eastAsia="Arial" w:hAnsi="Arial"/>
          <w:color w:val="333333"/>
          <w:sz w:val="22"/>
          <w:szCs w:val="22"/>
        </w:rPr>
        <w:t xml:space="preserve">Grille d'articles récents organisée par rubrique</w:t>
      </w:r>
    </w:p>
    <w:p>
      <w:pPr>
        <w:pStyle w:val="ListParagraph"/>
        <w:numPr>
          <w:ilvl w:val="0"/>
          <w:numId w:val="2"/>
        </w:numPr>
        <w:spacing w:after="60" w:before="60"/>
      </w:pPr>
      <w:r>
        <w:rPr>
          <w:rFonts w:ascii="Arial" w:cs="Arial" w:eastAsia="Arial" w:hAnsi="Arial"/>
          <w:color w:val="333333"/>
          <w:sz w:val="22"/>
          <w:szCs w:val="22"/>
        </w:rPr>
        <w:t xml:space="preserve">Barre de navigation avec accès aux rubriques principales</w:t>
      </w:r>
    </w:p>
    <w:p>
      <w:pPr>
        <w:pStyle w:val="ListParagraph"/>
        <w:numPr>
          <w:ilvl w:val="0"/>
          <w:numId w:val="2"/>
        </w:numPr>
        <w:spacing w:after="60" w:before="60"/>
      </w:pPr>
      <w:r>
        <w:rPr>
          <w:rFonts w:ascii="Arial" w:cs="Arial" w:eastAsia="Arial" w:hAnsi="Arial"/>
          <w:color w:val="333333"/>
          <w:sz w:val="22"/>
          <w:szCs w:val="22"/>
        </w:rPr>
        <w:t xml:space="preserve">Barre de recherche full-text visible en permanence</w:t>
      </w:r>
    </w:p>
    <w:p>
      <w:pPr>
        <w:pStyle w:val="ListParagraph"/>
        <w:numPr>
          <w:ilvl w:val="0"/>
          <w:numId w:val="2"/>
        </w:numPr>
        <w:spacing w:after="60" w:before="60"/>
      </w:pPr>
      <w:r>
        <w:rPr>
          <w:rFonts w:ascii="Arial" w:cs="Arial" w:eastAsia="Arial" w:hAnsi="Arial"/>
          <w:color w:val="333333"/>
          <w:sz w:val="22"/>
          <w:szCs w:val="22"/>
        </w:rPr>
        <w:t xml:space="preserve">Footer avec mentions légales, abonnement newsletter, liens rubriques</w:t>
      </w:r>
    </w:p>
    <w:p>
      <w:pPr>
        <w:spacing w:after="0" w:before="0"/>
      </w:pPr>
      <w:r>
        <w:rPr>
          <w:sz w:val="22"/>
          <w:szCs w:val="22"/>
        </w:rPr>
        <w:t xml:space="preserve"/>
      </w:r>
    </w:p>
    <w:p>
      <w:pPr>
        <w:spacing w:after="120" w:before="200"/>
      </w:pPr>
      <w:r>
        <w:rPr>
          <w:rFonts w:ascii="Arial" w:cs="Arial" w:eastAsia="Arial" w:hAnsi="Arial"/>
          <w:b/>
          <w:bCs/>
          <w:color w:val="1A3A5C"/>
          <w:sz w:val="22"/>
          <w:szCs w:val="22"/>
        </w:rPr>
        <w:t xml:space="preserve">Page article</w:t>
      </w:r>
    </w:p>
    <w:p>
      <w:pPr>
        <w:pStyle w:val="ListParagraph"/>
        <w:numPr>
          <w:ilvl w:val="0"/>
          <w:numId w:val="2"/>
        </w:numPr>
        <w:spacing w:after="60" w:before="60"/>
      </w:pPr>
      <w:r>
        <w:rPr>
          <w:rFonts w:ascii="Arial" w:cs="Arial" w:eastAsia="Arial" w:hAnsi="Arial"/>
          <w:color w:val="333333"/>
          <w:sz w:val="22"/>
          <w:szCs w:val="22"/>
        </w:rPr>
        <w:t xml:space="preserve">Mise en page éditoriale avec typographie soignée (serif pour le corps)</w:t>
      </w:r>
    </w:p>
    <w:p>
      <w:pPr>
        <w:pStyle w:val="ListParagraph"/>
        <w:numPr>
          <w:ilvl w:val="0"/>
          <w:numId w:val="2"/>
        </w:numPr>
        <w:spacing w:after="60" w:before="60"/>
      </w:pPr>
      <w:r>
        <w:rPr>
          <w:rFonts w:ascii="Arial" w:cs="Arial" w:eastAsia="Arial" w:hAnsi="Arial"/>
          <w:color w:val="333333"/>
          <w:sz w:val="22"/>
          <w:szCs w:val="22"/>
        </w:rPr>
        <w:t xml:space="preserve">Indicateur de temps de lecture estimé</w:t>
      </w:r>
    </w:p>
    <w:p>
      <w:pPr>
        <w:pStyle w:val="ListParagraph"/>
        <w:numPr>
          <w:ilvl w:val="0"/>
          <w:numId w:val="2"/>
        </w:numPr>
        <w:spacing w:after="60" w:before="60"/>
      </w:pPr>
      <w:r>
        <w:rPr>
          <w:rFonts w:ascii="Arial" w:cs="Arial" w:eastAsia="Arial" w:hAnsi="Arial"/>
          <w:color w:val="333333"/>
          <w:sz w:val="22"/>
          <w:szCs w:val="22"/>
        </w:rPr>
        <w:t xml:space="preserve">Barre de progression de lecture (scroll indicator)</w:t>
      </w:r>
    </w:p>
    <w:p>
      <w:pPr>
        <w:pStyle w:val="ListParagraph"/>
        <w:numPr>
          <w:ilvl w:val="0"/>
          <w:numId w:val="2"/>
        </w:numPr>
        <w:spacing w:after="60" w:before="60"/>
      </w:pPr>
      <w:r>
        <w:rPr>
          <w:rFonts w:ascii="Arial" w:cs="Arial" w:eastAsia="Arial" w:hAnsi="Arial"/>
          <w:color w:val="333333"/>
          <w:sz w:val="22"/>
          <w:szCs w:val="22"/>
        </w:rPr>
        <w:t xml:space="preserve">Boutons de partage social (X, LinkedIn, copier le lien)</w:t>
      </w:r>
    </w:p>
    <w:p>
      <w:pPr>
        <w:pStyle w:val="ListParagraph"/>
        <w:numPr>
          <w:ilvl w:val="0"/>
          <w:numId w:val="2"/>
        </w:numPr>
        <w:spacing w:after="60" w:before="60"/>
      </w:pPr>
      <w:r>
        <w:rPr>
          <w:rFonts w:ascii="Arial" w:cs="Arial" w:eastAsia="Arial" w:hAnsi="Arial"/>
          <w:color w:val="333333"/>
          <w:sz w:val="22"/>
          <w:szCs w:val="22"/>
        </w:rPr>
        <w:t xml:space="preserve">Articles similaires suggérés en bas de page</w:t>
      </w:r>
    </w:p>
    <w:p>
      <w:pPr>
        <w:pStyle w:val="ListParagraph"/>
        <w:numPr>
          <w:ilvl w:val="0"/>
          <w:numId w:val="2"/>
        </w:numPr>
        <w:spacing w:after="60" w:before="60"/>
      </w:pPr>
      <w:r>
        <w:rPr>
          <w:rFonts w:ascii="Arial" w:cs="Arial" w:eastAsia="Arial" w:hAnsi="Arial"/>
          <w:color w:val="333333"/>
          <w:sz w:val="22"/>
          <w:szCs w:val="22"/>
        </w:rPr>
        <w:t xml:space="preserve">Paywall progressif pour le contenu premium</w:t>
      </w:r>
    </w:p>
    <w:p>
      <w:pPr>
        <w:spacing w:after="0" w:before="0"/>
      </w:pPr>
      <w:r>
        <w:rPr>
          <w:sz w:val="22"/>
          <w:szCs w:val="22"/>
        </w:rPr>
        <w:t xml:space="preserve"/>
      </w:r>
    </w:p>
    <w:p>
      <w:pPr>
        <w:spacing w:after="120" w:before="200"/>
      </w:pPr>
      <w:r>
        <w:rPr>
          <w:rFonts w:ascii="Arial" w:cs="Arial" w:eastAsia="Arial" w:hAnsi="Arial"/>
          <w:b/>
          <w:bCs/>
          <w:color w:val="1A3A5C"/>
          <w:sz w:val="22"/>
          <w:szCs w:val="22"/>
        </w:rPr>
        <w:t xml:space="preserve">Navigation &amp; découverte</w:t>
      </w:r>
    </w:p>
    <w:p>
      <w:pPr>
        <w:pStyle w:val="ListParagraph"/>
        <w:numPr>
          <w:ilvl w:val="0"/>
          <w:numId w:val="2"/>
        </w:numPr>
        <w:spacing w:after="60" w:before="60"/>
      </w:pPr>
      <w:r>
        <w:rPr>
          <w:rFonts w:ascii="Arial" w:cs="Arial" w:eastAsia="Arial" w:hAnsi="Arial"/>
          <w:color w:val="333333"/>
          <w:sz w:val="22"/>
          <w:szCs w:val="22"/>
        </w:rPr>
        <w:t xml:space="preserve">Pages de rubrique (catégorie) avec listing paginé</w:t>
      </w:r>
    </w:p>
    <w:p>
      <w:pPr>
        <w:pStyle w:val="ListParagraph"/>
        <w:numPr>
          <w:ilvl w:val="0"/>
          <w:numId w:val="2"/>
        </w:numPr>
        <w:spacing w:after="60" w:before="60"/>
      </w:pPr>
      <w:r>
        <w:rPr>
          <w:rFonts w:ascii="Arial" w:cs="Arial" w:eastAsia="Arial" w:hAnsi="Arial"/>
          <w:color w:val="333333"/>
          <w:sz w:val="22"/>
          <w:szCs w:val="22"/>
        </w:rPr>
        <w:t xml:space="preserve">Pages de tag pour regrouper les articles par thème</w:t>
      </w:r>
    </w:p>
    <w:p>
      <w:pPr>
        <w:pStyle w:val="ListParagraph"/>
        <w:numPr>
          <w:ilvl w:val="0"/>
          <w:numId w:val="2"/>
        </w:numPr>
        <w:spacing w:after="60" w:before="60"/>
      </w:pPr>
      <w:r>
        <w:rPr>
          <w:rFonts w:ascii="Arial" w:cs="Arial" w:eastAsia="Arial" w:hAnsi="Arial"/>
          <w:color w:val="333333"/>
          <w:sz w:val="22"/>
          <w:szCs w:val="22"/>
        </w:rPr>
        <w:t xml:space="preserve">Page auteur avec biographie et liste des articles</w:t>
      </w:r>
    </w:p>
    <w:p>
      <w:pPr>
        <w:pStyle w:val="ListParagraph"/>
        <w:numPr>
          <w:ilvl w:val="0"/>
          <w:numId w:val="2"/>
        </w:numPr>
        <w:spacing w:after="60" w:before="60"/>
      </w:pPr>
      <w:r>
        <w:rPr>
          <w:rFonts w:ascii="Arial" w:cs="Arial" w:eastAsia="Arial" w:hAnsi="Arial"/>
          <w:color w:val="333333"/>
          <w:sz w:val="22"/>
          <w:szCs w:val="22"/>
        </w:rPr>
        <w:t xml:space="preserve">Recherche full-text (Algolia ou pg_search)</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2.2 Backoffice éditorial (CMS)</w:t>
      </w:r>
    </w:p>
    <w:p>
      <w:pPr>
        <w:spacing w:after="120" w:before="200"/>
      </w:pPr>
      <w:r>
        <w:rPr>
          <w:rFonts w:ascii="Arial" w:cs="Arial" w:eastAsia="Arial" w:hAnsi="Arial"/>
          <w:b/>
          <w:bCs/>
          <w:color w:val="1A3A5C"/>
          <w:sz w:val="22"/>
          <w:szCs w:val="22"/>
        </w:rPr>
        <w:t xml:space="preserve">Éditeur de contenu</w:t>
      </w:r>
    </w:p>
    <w:p>
      <w:pPr>
        <w:pStyle w:val="ListParagraph"/>
        <w:numPr>
          <w:ilvl w:val="0"/>
          <w:numId w:val="2"/>
        </w:numPr>
        <w:spacing w:after="60" w:before="60"/>
      </w:pPr>
      <w:r>
        <w:rPr>
          <w:rFonts w:ascii="Arial" w:cs="Arial" w:eastAsia="Arial" w:hAnsi="Arial"/>
          <w:color w:val="333333"/>
          <w:sz w:val="22"/>
          <w:szCs w:val="22"/>
        </w:rPr>
        <w:t xml:space="preserve">Éditeur riche WYSIWYG (Tiptap ou Slate.js)</w:t>
      </w:r>
    </w:p>
    <w:p>
      <w:pPr>
        <w:pStyle w:val="ListParagraph"/>
        <w:numPr>
          <w:ilvl w:val="0"/>
          <w:numId w:val="2"/>
        </w:numPr>
        <w:spacing w:after="60" w:before="60"/>
      </w:pPr>
      <w:r>
        <w:rPr>
          <w:rFonts w:ascii="Arial" w:cs="Arial" w:eastAsia="Arial" w:hAnsi="Arial"/>
          <w:color w:val="333333"/>
          <w:sz w:val="22"/>
          <w:szCs w:val="22"/>
        </w:rPr>
        <w:t xml:space="preserve">Support : texte formaté, titres, images inline, vidéos intégrées, citations, liens</w:t>
      </w:r>
    </w:p>
    <w:p>
      <w:pPr>
        <w:pStyle w:val="ListParagraph"/>
        <w:numPr>
          <w:ilvl w:val="0"/>
          <w:numId w:val="2"/>
        </w:numPr>
        <w:spacing w:after="60" w:before="60"/>
      </w:pPr>
      <w:r>
        <w:rPr>
          <w:rFonts w:ascii="Arial" w:cs="Arial" w:eastAsia="Arial" w:hAnsi="Arial"/>
          <w:color w:val="333333"/>
          <w:sz w:val="22"/>
          <w:szCs w:val="22"/>
        </w:rPr>
        <w:t xml:space="preserve">Gestion des médias : upload, compression automatique, CDN</w:t>
      </w:r>
    </w:p>
    <w:p>
      <w:pPr>
        <w:pStyle w:val="ListParagraph"/>
        <w:numPr>
          <w:ilvl w:val="0"/>
          <w:numId w:val="2"/>
        </w:numPr>
        <w:spacing w:after="60" w:before="60"/>
      </w:pPr>
      <w:r>
        <w:rPr>
          <w:rFonts w:ascii="Arial" w:cs="Arial" w:eastAsia="Arial" w:hAnsi="Arial"/>
          <w:color w:val="333333"/>
          <w:sz w:val="22"/>
          <w:szCs w:val="22"/>
        </w:rPr>
        <w:t xml:space="preserve">Aperçu temps réel de l'article avant publication</w:t>
      </w:r>
    </w:p>
    <w:p>
      <w:pPr>
        <w:spacing w:after="0" w:before="0"/>
      </w:pPr>
      <w:r>
        <w:rPr>
          <w:sz w:val="22"/>
          <w:szCs w:val="22"/>
        </w:rPr>
        <w:t xml:space="preserve"/>
      </w:r>
    </w:p>
    <w:p>
      <w:pPr>
        <w:spacing w:after="120" w:before="200"/>
      </w:pPr>
      <w:r>
        <w:rPr>
          <w:rFonts w:ascii="Arial" w:cs="Arial" w:eastAsia="Arial" w:hAnsi="Arial"/>
          <w:b/>
          <w:bCs/>
          <w:color w:val="1A3A5C"/>
          <w:sz w:val="22"/>
          <w:szCs w:val="22"/>
        </w:rPr>
        <w:t xml:space="preserve">Workflow éditorial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513"/>
        <w:gridCol w:w="2513"/>
      </w:tblGrid>
      <w:tr>
        <w:trPr>
          <w:tblHeader/>
        </w:trPr>
        <w:tc>
          <w:tcPr>
            <w:tcW w:type="dxa" w:w="2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Brouillon</w:t>
            </w:r>
          </w:p>
        </w:tc>
        <w:tc>
          <w:tcPr>
            <w:tcW w:type="dxa" w:w="2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En relecture</w:t>
            </w:r>
          </w:p>
        </w:tc>
        <w:tc>
          <w:tcPr>
            <w:tcW w:type="dxa" w:w="2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Planifié</w:t>
            </w:r>
          </w:p>
        </w:tc>
        <w:tc>
          <w:tcPr>
            <w:tcW w:type="dxa" w:w="2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Publié</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Rédaction en cours</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Soumis pour validation</w:t>
            </w:r>
          </w:p>
        </w:tc>
        <w:tc>
          <w:tcPr>
            <w:tcW w:type="dxa" w:w="2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Date de publication définie</w:t>
            </w:r>
          </w:p>
        </w:tc>
        <w:tc>
          <w:tcPr>
            <w:tcW w:type="dxa" w:w="2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Visible pour les lecteurs</w:t>
            </w:r>
          </w:p>
        </w:tc>
      </w:tr>
    </w:tbl>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2.3 Monétisation</w:t>
      </w:r>
    </w:p>
    <w:p>
      <w:pPr>
        <w:pStyle w:val="ListParagraph"/>
        <w:numPr>
          <w:ilvl w:val="0"/>
          <w:numId w:val="2"/>
        </w:numPr>
        <w:spacing w:after="60" w:before="60"/>
      </w:pPr>
      <w:r>
        <w:rPr>
          <w:rFonts w:ascii="Arial" w:cs="Arial" w:eastAsia="Arial" w:hAnsi="Arial"/>
          <w:color w:val="333333"/>
          <w:sz w:val="22"/>
          <w:szCs w:val="22"/>
        </w:rPr>
        <w:t xml:space="preserve">Modèle freemium : X articles gratuits par mois, suite en abonnement</w:t>
      </w:r>
    </w:p>
    <w:p>
      <w:pPr>
        <w:pStyle w:val="ListParagraph"/>
        <w:numPr>
          <w:ilvl w:val="0"/>
          <w:numId w:val="2"/>
        </w:numPr>
        <w:spacing w:after="60" w:before="60"/>
      </w:pPr>
      <w:r>
        <w:rPr>
          <w:rFonts w:ascii="Arial" w:cs="Arial" w:eastAsia="Arial" w:hAnsi="Arial"/>
          <w:color w:val="333333"/>
          <w:sz w:val="22"/>
          <w:szCs w:val="22"/>
        </w:rPr>
        <w:t xml:space="preserve">Abonnement mensuel / annuel via Stripe Checkout</w:t>
      </w:r>
    </w:p>
    <w:p>
      <w:pPr>
        <w:pStyle w:val="ListParagraph"/>
        <w:numPr>
          <w:ilvl w:val="0"/>
          <w:numId w:val="2"/>
        </w:numPr>
        <w:spacing w:after="60" w:before="60"/>
      </w:pPr>
      <w:r>
        <w:rPr>
          <w:rFonts w:ascii="Arial" w:cs="Arial" w:eastAsia="Arial" w:hAnsi="Arial"/>
          <w:color w:val="333333"/>
          <w:sz w:val="22"/>
          <w:szCs w:val="22"/>
        </w:rPr>
        <w:t xml:space="preserve">Espace abonné : articles sauvegardés, historique, gestion de l'abonnement</w:t>
      </w:r>
    </w:p>
    <w:p>
      <w:pPr>
        <w:pStyle w:val="ListParagraph"/>
        <w:numPr>
          <w:ilvl w:val="0"/>
          <w:numId w:val="2"/>
        </w:numPr>
        <w:spacing w:after="60" w:before="60"/>
      </w:pPr>
      <w:r>
        <w:rPr>
          <w:rFonts w:ascii="Arial" w:cs="Arial" w:eastAsia="Arial" w:hAnsi="Arial"/>
          <w:color w:val="333333"/>
          <w:sz w:val="22"/>
          <w:szCs w:val="22"/>
        </w:rPr>
        <w:t xml:space="preserve">Newsletter hebdomadaire pour les abonnés (Resend ou Brevo)</w:t>
      </w:r>
    </w:p>
    <w:p>
      <w:r>
        <w:br w:type="page"/>
      </w:r>
    </w:p>
    <w:p>
      <w:pPr>
        <w:pStyle w:val="Heading1"/>
        <w:spacing w:after="200" w:before="400"/>
      </w:pPr>
      <w:r>
        <w:rPr>
          <w:rFonts w:ascii="Arial" w:cs="Arial" w:eastAsia="Arial" w:hAnsi="Arial"/>
          <w:b/>
          <w:bCs/>
          <w:color w:val="1A3A5C"/>
          <w:sz w:val="32"/>
          <w:szCs w:val="32"/>
        </w:rPr>
        <w:t xml:space="preserve">3. Architecture technique</w:t>
      </w:r>
    </w:p>
    <w:p>
      <w:pPr>
        <w:pBdr>
          <w:bottom w:val="single" w:color="D5E8F0" w:sz="4" w:space="1"/>
        </w:pBdr>
        <w:spacing w:after="120" w:before="120"/>
      </w:pPr>
      <w:r>
        <w:t xml:space="preserve"/>
      </w:r>
    </w:p>
    <w:p>
      <w:pPr>
        <w:pStyle w:val="Heading2"/>
        <w:spacing w:after="160" w:before="300"/>
      </w:pPr>
      <w:r>
        <w:rPr>
          <w:rFonts w:ascii="Arial" w:cs="Arial" w:eastAsia="Arial" w:hAnsi="Arial"/>
          <w:b/>
          <w:bCs/>
          <w:color w:val="2E6EA6"/>
          <w:sz w:val="26"/>
          <w:szCs w:val="26"/>
        </w:rPr>
        <w:t xml:space="preserve">3.1 Stack recommandée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3500"/>
        <w:gridCol w:w="3026"/>
      </w:tblGrid>
      <w:tr>
        <w:trPr>
          <w:tblHeader/>
        </w:trPr>
        <w:tc>
          <w:tcPr>
            <w:tcW w:type="dxa" w:w="25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Couche</w:t>
            </w:r>
          </w:p>
        </w:tc>
        <w:tc>
          <w:tcPr>
            <w:tcW w:type="dxa" w:w="35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Technologie recommandée</w:t>
            </w:r>
          </w:p>
        </w:tc>
        <w:tc>
          <w:tcPr>
            <w:tcW w:type="dxa" w:w="3026"/>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Alternatives</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Frontend</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Next.js 14 (App Router)</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Nuxt 3, Remix</w:t>
            </w:r>
          </w:p>
        </w:tc>
      </w:tr>
      <w:tr>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CMS / Backend</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Payload CMS (headless)</w:t>
            </w:r>
          </w:p>
        </w:tc>
        <w:tc>
          <w:tcPr>
            <w:tcW w:type="dxa" w:w="3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Sanity, Directus, Strapi</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Base de données</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PostgreSQL</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MySQL, PlanetScale</w:t>
            </w:r>
          </w:p>
        </w:tc>
      </w:tr>
      <w:tr>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Authentification</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NextAuth.js / Payload auth</w:t>
            </w:r>
          </w:p>
        </w:tc>
        <w:tc>
          <w:tcPr>
            <w:tcW w:type="dxa" w:w="3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Clerk, Auth0</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Médias / CDN</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Cloudflare R2 + CDN</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AWS S3 + CloudFront</w:t>
            </w:r>
          </w:p>
        </w:tc>
      </w:tr>
      <w:tr>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Recherche</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Algolia ou pg_search</w:t>
            </w:r>
          </w:p>
        </w:tc>
        <w:tc>
          <w:tcPr>
            <w:tcW w:type="dxa" w:w="3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Typesense, Meilisearch</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Paiement</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Stripe</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w:t>
            </w:r>
          </w:p>
        </w:tc>
      </w:tr>
      <w:tr>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Email</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Resend</w:t>
            </w:r>
          </w:p>
        </w:tc>
        <w:tc>
          <w:tcPr>
            <w:tcW w:type="dxa" w:w="3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Brevo, Mailgun</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Analytics</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Plausible ou Umami</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Google Analytics 4</w:t>
            </w:r>
          </w:p>
        </w:tc>
      </w:tr>
      <w:tr>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Hébergement</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Vercel (frontend)</w:t>
            </w:r>
          </w:p>
        </w:tc>
        <w:tc>
          <w:tcPr>
            <w:tcW w:type="dxa" w:w="3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Railway, Fly.io</w:t>
            </w:r>
          </w:p>
        </w:tc>
      </w:tr>
    </w:tbl>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3.2 Modèle de données principal</w:t>
      </w:r>
    </w:p>
    <w:p>
      <w:pPr>
        <w:spacing w:after="80" w:before="80"/>
        <w:jc w:val="left"/>
      </w:pPr>
      <w:r>
        <w:rPr>
          <w:rFonts w:ascii="Arial" w:cs="Arial" w:eastAsia="Arial" w:hAnsi="Arial"/>
          <w:color w:val="333333"/>
          <w:sz w:val="22"/>
          <w:szCs w:val="22"/>
        </w:rPr>
        <w:t xml:space="preserve">Les entités principales de la base de données sont les suivantes :</w:t>
      </w:r>
    </w:p>
    <w:p>
      <w:pPr>
        <w:spacing w:after="0" w:before="0"/>
      </w:pPr>
      <w:r>
        <w:rPr>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3526"/>
      </w:tblGrid>
      <w:tr>
        <w:trPr>
          <w:tblHeader/>
        </w:trPr>
        <w:tc>
          <w:tcPr>
            <w:tcW w:type="dxa" w:w="2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Entité</w:t>
            </w:r>
          </w:p>
        </w:tc>
        <w:tc>
          <w:tcPr>
            <w:tcW w:type="dxa" w:w="35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Champs principaux</w:t>
            </w:r>
          </w:p>
        </w:tc>
        <w:tc>
          <w:tcPr>
            <w:tcW w:type="dxa" w:w="3526"/>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Relations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Article</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titre, slug, contenu, extrait, image_hero, statut, date_publication</w:t>
            </w:r>
          </w:p>
        </w:tc>
        <w:tc>
          <w:tcPr>
            <w:tcW w:type="dxa" w:w="3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Appartient à un Auteur, plusieurs Catégories, plusieurs Tags</w:t>
            </w:r>
          </w:p>
        </w:tc>
      </w:tr>
      <w:tr>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Auteur</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nom, bio, photo, email, rôle (admin/rédacteur)</w:t>
            </w:r>
          </w:p>
        </w:tc>
        <w:tc>
          <w:tcPr>
            <w:tcW w:type="dxa" w:w="35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A plusieurs Articles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Catégorie</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nom, slug, description, couleur</w:t>
            </w:r>
          </w:p>
        </w:tc>
        <w:tc>
          <w:tcPr>
            <w:tcW w:type="dxa" w:w="3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A plusieurs Articles</w:t>
            </w:r>
          </w:p>
        </w:tc>
      </w:tr>
      <w:tr>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Tag</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nom, slug</w:t>
            </w:r>
          </w:p>
        </w:tc>
        <w:tc>
          <w:tcPr>
            <w:tcW w:type="dxa" w:w="35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A plusieurs Articles (M:N)</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Utilisateur</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email, nom, statut_abonnement, date_fin_abonnement</w:t>
            </w:r>
          </w:p>
        </w:tc>
        <w:tc>
          <w:tcPr>
            <w:tcW w:type="dxa" w:w="3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Peut sauvegarder des Articles</w:t>
            </w:r>
          </w:p>
        </w:tc>
      </w:tr>
      <w:tr>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Média</w:t>
            </w:r>
          </w:p>
        </w:tc>
        <w:tc>
          <w:tcPr>
            <w:tcW w:type="dxa" w:w="3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url, alt, taille, type, largeur, hauteur</w:t>
            </w:r>
          </w:p>
        </w:tc>
        <w:tc>
          <w:tcPr>
            <w:tcW w:type="dxa" w:w="35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Utilisé dans les Articles</w:t>
            </w:r>
          </w:p>
        </w:tc>
      </w:tr>
    </w:tbl>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3.3 Exigences de performance</w:t>
      </w:r>
    </w:p>
    <w:p>
      <w:pPr>
        <w:pStyle w:val="ListParagraph"/>
        <w:numPr>
          <w:ilvl w:val="0"/>
          <w:numId w:val="2"/>
        </w:numPr>
        <w:spacing w:after="60" w:before="60"/>
      </w:pPr>
      <w:r>
        <w:rPr>
          <w:rFonts w:ascii="Arial" w:cs="Arial" w:eastAsia="Arial" w:hAnsi="Arial"/>
          <w:color w:val="333333"/>
          <w:sz w:val="22"/>
          <w:szCs w:val="22"/>
        </w:rPr>
        <w:t xml:space="preserve">Largest Contentful Paint (LCP) &lt; 2,5 secondes</w:t>
      </w:r>
    </w:p>
    <w:p>
      <w:pPr>
        <w:pStyle w:val="ListParagraph"/>
        <w:numPr>
          <w:ilvl w:val="0"/>
          <w:numId w:val="2"/>
        </w:numPr>
        <w:spacing w:after="60" w:before="60"/>
      </w:pPr>
      <w:r>
        <w:rPr>
          <w:rFonts w:ascii="Arial" w:cs="Arial" w:eastAsia="Arial" w:hAnsi="Arial"/>
          <w:color w:val="333333"/>
          <w:sz w:val="22"/>
          <w:szCs w:val="22"/>
        </w:rPr>
        <w:t xml:space="preserve">Cumulative Layout Shift (CLS) &lt; 0,1</w:t>
      </w:r>
    </w:p>
    <w:p>
      <w:pPr>
        <w:pStyle w:val="ListParagraph"/>
        <w:numPr>
          <w:ilvl w:val="0"/>
          <w:numId w:val="2"/>
        </w:numPr>
        <w:spacing w:after="60" w:before="60"/>
      </w:pPr>
      <w:r>
        <w:rPr>
          <w:rFonts w:ascii="Arial" w:cs="Arial" w:eastAsia="Arial" w:hAnsi="Arial"/>
          <w:color w:val="333333"/>
          <w:sz w:val="22"/>
          <w:szCs w:val="22"/>
        </w:rPr>
        <w:t xml:space="preserve">First Input Delay (FID) &lt; 100 ms</w:t>
      </w:r>
    </w:p>
    <w:p>
      <w:pPr>
        <w:pStyle w:val="ListParagraph"/>
        <w:numPr>
          <w:ilvl w:val="0"/>
          <w:numId w:val="2"/>
        </w:numPr>
        <w:spacing w:after="60" w:before="60"/>
      </w:pPr>
      <w:r>
        <w:rPr>
          <w:rFonts w:ascii="Arial" w:cs="Arial" w:eastAsia="Arial" w:hAnsi="Arial"/>
          <w:color w:val="333333"/>
          <w:sz w:val="22"/>
          <w:szCs w:val="22"/>
        </w:rPr>
        <w:t xml:space="preserve">Score Lighthouse &gt; 90 sur les 4 métriques (Performance, Accessibilité, SEO, Bonnes pratiques)</w:t>
      </w:r>
    </w:p>
    <w:p>
      <w:pPr>
        <w:pStyle w:val="ListParagraph"/>
        <w:numPr>
          <w:ilvl w:val="0"/>
          <w:numId w:val="2"/>
        </w:numPr>
        <w:spacing w:after="60" w:before="60"/>
      </w:pPr>
      <w:r>
        <w:rPr>
          <w:rFonts w:ascii="Arial" w:cs="Arial" w:eastAsia="Arial" w:hAnsi="Arial"/>
          <w:color w:val="333333"/>
          <w:sz w:val="22"/>
          <w:szCs w:val="22"/>
        </w:rPr>
        <w:t xml:space="preserve">Disponibilité cible : 99,9% (uptime SLA Vercel)</w:t>
      </w:r>
    </w:p>
    <w:p>
      <w:r>
        <w:br w:type="page"/>
      </w:r>
    </w:p>
    <w:p>
      <w:pPr>
        <w:pStyle w:val="Heading1"/>
        <w:spacing w:after="200" w:before="400"/>
      </w:pPr>
      <w:r>
        <w:rPr>
          <w:rFonts w:ascii="Arial" w:cs="Arial" w:eastAsia="Arial" w:hAnsi="Arial"/>
          <w:b/>
          <w:bCs/>
          <w:color w:val="1A3A5C"/>
          <w:sz w:val="32"/>
          <w:szCs w:val="32"/>
        </w:rPr>
        <w:t xml:space="preserve">4. Roadmap de développement</w:t>
      </w:r>
    </w:p>
    <w:p>
      <w:pPr>
        <w:pBdr>
          <w:bottom w:val="single" w:color="D5E8F0" w:sz="4" w:space="1"/>
        </w:pBdr>
        <w:spacing w:after="120" w:before="120"/>
      </w:pPr>
      <w:r>
        <w:t xml:space="preserve"/>
      </w:r>
    </w:p>
    <w:p>
      <w:pPr>
        <w:spacing w:after="80" w:before="80"/>
        <w:jc w:val="left"/>
      </w:pPr>
      <w:r>
        <w:rPr>
          <w:rFonts w:ascii="Arial" w:cs="Arial" w:eastAsia="Arial" w:hAnsi="Arial"/>
          <w:color w:val="333333"/>
          <w:sz w:val="22"/>
          <w:szCs w:val="22"/>
        </w:rPr>
        <w:t xml:space="preserve">Le projet est structuré en 4 phases progressives. Chaque phase est indépendante et livrerable séparément.</w:t>
      </w:r>
    </w:p>
    <w:p>
      <w:pPr>
        <w:spacing w:after="0" w:before="0"/>
      </w:pPr>
      <w:r>
        <w:rPr>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2526"/>
        <w:gridCol w:w="2000"/>
      </w:tblGrid>
      <w:tr>
        <w:trPr>
          <w:tblHeader/>
        </w:trPr>
        <w:tc>
          <w:tcPr>
            <w:tcW w:type="dxa" w:w="15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Phase</w:t>
            </w:r>
          </w:p>
        </w:tc>
        <w:tc>
          <w:tcPr>
            <w:tcW w:type="dxa" w:w="3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Objectif</w:t>
            </w:r>
          </w:p>
        </w:tc>
        <w:tc>
          <w:tcPr>
            <w:tcW w:type="dxa" w:w="2526"/>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Composants clés</w:t>
            </w:r>
          </w:p>
        </w:tc>
        <w:tc>
          <w:tcPr>
            <w:tcW w:type="dxa" w:w="2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Durée estimée</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Phase 1</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Fondations &amp; stack</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Stack, repo, auth admin, modèle de données, CI/CD</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3 semaines</w:t>
            </w:r>
          </w:p>
        </w:tc>
      </w:tr>
      <w:tr>
        <w:tc>
          <w:tcPr>
            <w:tcW w:type="dxa" w:w="1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Phase 2</w:t>
            </w:r>
          </w:p>
        </w:tc>
        <w:tc>
          <w:tcPr>
            <w:tcW w:type="dxa" w:w="3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Lecture &amp; navigation</w:t>
            </w:r>
          </w:p>
        </w:tc>
        <w:tc>
          <w:tcPr>
            <w:tcW w:type="dxa" w:w="25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Accueil, page article, rubriques, recherche, SEO</w:t>
            </w:r>
          </w:p>
        </w:tc>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4 semaines</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Phase 3</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CMS &amp; publication</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Éditeur riche, médias, workflow, newsletter</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4 semaines</w:t>
            </w:r>
          </w:p>
        </w:tc>
      </w:tr>
      <w:tr>
        <w:tc>
          <w:tcPr>
            <w:tcW w:type="dxa" w:w="1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Phase 4</w:t>
            </w:r>
          </w:p>
        </w:tc>
        <w:tc>
          <w:tcPr>
            <w:tcW w:type="dxa" w:w="3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Monétisation &amp; croissance</w:t>
            </w:r>
          </w:p>
        </w:tc>
        <w:tc>
          <w:tcPr>
            <w:tcW w:type="dxa" w:w="25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Paywall, Stripe, analytics, performances, PWA</w:t>
            </w:r>
          </w:p>
        </w:tc>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5 semaines</w:t>
            </w:r>
          </w:p>
        </w:tc>
      </w:tr>
    </w:tbl>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4.1 Jalons et livrables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5026"/>
        <w:gridCol w:w="2500"/>
      </w:tblGrid>
      <w:tr>
        <w:trPr>
          <w:tblHeader/>
        </w:trPr>
        <w:tc>
          <w:tcPr>
            <w:tcW w:type="dxa" w:w="15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Jalon</w:t>
            </w:r>
          </w:p>
        </w:tc>
        <w:tc>
          <w:tcPr>
            <w:tcW w:type="dxa" w:w="5026"/>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Livrable</w:t>
            </w:r>
          </w:p>
        </w:tc>
        <w:tc>
          <w:tcPr>
            <w:tcW w:type="dxa" w:w="25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Critère d'acceptation</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J1</w:t>
            </w:r>
          </w:p>
        </w:tc>
        <w:tc>
          <w:tcPr>
            <w:tcW w:type="dxa" w:w="5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Environnement de développement configuré, premier déploiement</w:t>
            </w:r>
          </w:p>
        </w:tc>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URL de staging accessible</w:t>
            </w:r>
          </w:p>
        </w:tc>
      </w:tr>
      <w:tr>
        <w:tc>
          <w:tcPr>
            <w:tcW w:type="dxa" w:w="1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J2</w:t>
            </w:r>
          </w:p>
        </w:tc>
        <w:tc>
          <w:tcPr>
            <w:tcW w:type="dxa" w:w="5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Frontend public complet (lecture, navigation, SEO)</w:t>
            </w:r>
          </w:p>
        </w:tc>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Score Lighthouse &gt; 85</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J3</w:t>
            </w:r>
          </w:p>
        </w:tc>
        <w:tc>
          <w:tcPr>
            <w:tcW w:type="dxa" w:w="5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CMS opérationnel, premier article publié depuis le backoffice</w:t>
            </w:r>
          </w:p>
        </w:tc>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Workflow brouillon → publié fonctionnel</w:t>
            </w:r>
          </w:p>
        </w:tc>
      </w:tr>
      <w:tr>
        <w:tc>
          <w:tcPr>
            <w:tcW w:type="dxa" w:w="1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J4</w:t>
            </w:r>
          </w:p>
        </w:tc>
        <w:tc>
          <w:tcPr>
            <w:tcW w:type="dxa" w:w="5026"/>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Mise en production complète avec abonnement actif</w:t>
            </w:r>
          </w:p>
        </w:tc>
        <w:tc>
          <w:tcPr>
            <w:tcW w:type="dxa" w:w="25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Premier paiement Stripe réel traité</w:t>
            </w:r>
          </w:p>
        </w:tc>
      </w:tr>
    </w:tbl>
    <w:p>
      <w:r>
        <w:br w:type="page"/>
      </w:r>
    </w:p>
    <w:p>
      <w:pPr>
        <w:pStyle w:val="Heading1"/>
        <w:spacing w:after="200" w:before="400"/>
      </w:pPr>
      <w:r>
        <w:rPr>
          <w:rFonts w:ascii="Arial" w:cs="Arial" w:eastAsia="Arial" w:hAnsi="Arial"/>
          <w:b/>
          <w:bCs/>
          <w:color w:val="1A3A5C"/>
          <w:sz w:val="32"/>
          <w:szCs w:val="32"/>
        </w:rPr>
        <w:t xml:space="preserve">5. Exigences non fonctionnelles</w:t>
      </w:r>
    </w:p>
    <w:p>
      <w:pPr>
        <w:pBdr>
          <w:bottom w:val="single" w:color="D5E8F0" w:sz="4" w:space="1"/>
        </w:pBdr>
        <w:spacing w:after="120" w:before="120"/>
      </w:pPr>
      <w:r>
        <w:t xml:space="preserve"/>
      </w:r>
    </w:p>
    <w:p>
      <w:pPr>
        <w:pStyle w:val="Heading2"/>
        <w:spacing w:after="160" w:before="300"/>
      </w:pPr>
      <w:r>
        <w:rPr>
          <w:rFonts w:ascii="Arial" w:cs="Arial" w:eastAsia="Arial" w:hAnsi="Arial"/>
          <w:b/>
          <w:bCs/>
          <w:color w:val="2E6EA6"/>
          <w:sz w:val="26"/>
          <w:szCs w:val="26"/>
        </w:rPr>
        <w:t xml:space="preserve">5.1 Sécurité</w:t>
      </w:r>
    </w:p>
    <w:p>
      <w:pPr>
        <w:pStyle w:val="ListParagraph"/>
        <w:numPr>
          <w:ilvl w:val="0"/>
          <w:numId w:val="2"/>
        </w:numPr>
        <w:spacing w:after="60" w:before="60"/>
      </w:pPr>
      <w:r>
        <w:rPr>
          <w:rFonts w:ascii="Arial" w:cs="Arial" w:eastAsia="Arial" w:hAnsi="Arial"/>
          <w:color w:val="333333"/>
          <w:sz w:val="22"/>
          <w:szCs w:val="22"/>
        </w:rPr>
        <w:t xml:space="preserve">Authentification sécurisée (JWT, sessions HTTPS uniquement)</w:t>
      </w:r>
    </w:p>
    <w:p>
      <w:pPr>
        <w:pStyle w:val="ListParagraph"/>
        <w:numPr>
          <w:ilvl w:val="0"/>
          <w:numId w:val="2"/>
        </w:numPr>
        <w:spacing w:after="60" w:before="60"/>
      </w:pPr>
      <w:r>
        <w:rPr>
          <w:rFonts w:ascii="Arial" w:cs="Arial" w:eastAsia="Arial" w:hAnsi="Arial"/>
          <w:color w:val="333333"/>
          <w:sz w:val="22"/>
          <w:szCs w:val="22"/>
        </w:rPr>
        <w:t xml:space="preserve">Protection CSRF sur tous les formulaires</w:t>
      </w:r>
    </w:p>
    <w:p>
      <w:pPr>
        <w:pStyle w:val="ListParagraph"/>
        <w:numPr>
          <w:ilvl w:val="0"/>
          <w:numId w:val="2"/>
        </w:numPr>
        <w:spacing w:after="60" w:before="60"/>
      </w:pPr>
      <w:r>
        <w:rPr>
          <w:rFonts w:ascii="Arial" w:cs="Arial" w:eastAsia="Arial" w:hAnsi="Arial"/>
          <w:color w:val="333333"/>
          <w:sz w:val="22"/>
          <w:szCs w:val="22"/>
        </w:rPr>
        <w:t xml:space="preserve">Données sensibles (mots de passe, tokens) chiffrées au repos</w:t>
      </w:r>
    </w:p>
    <w:p>
      <w:pPr>
        <w:pStyle w:val="ListParagraph"/>
        <w:numPr>
          <w:ilvl w:val="0"/>
          <w:numId w:val="2"/>
        </w:numPr>
        <w:spacing w:after="60" w:before="60"/>
      </w:pPr>
      <w:r>
        <w:rPr>
          <w:rFonts w:ascii="Arial" w:cs="Arial" w:eastAsia="Arial" w:hAnsi="Arial"/>
          <w:color w:val="333333"/>
          <w:sz w:val="22"/>
          <w:szCs w:val="22"/>
        </w:rPr>
        <w:t xml:space="preserve">Conformité RGPD : consentement cookies, droit à l'oubli, politique de confidentialité</w:t>
      </w:r>
    </w:p>
    <w:p>
      <w:pPr>
        <w:pStyle w:val="ListParagraph"/>
        <w:numPr>
          <w:ilvl w:val="0"/>
          <w:numId w:val="2"/>
        </w:numPr>
        <w:spacing w:after="60" w:before="60"/>
      </w:pPr>
      <w:r>
        <w:rPr>
          <w:rFonts w:ascii="Arial" w:cs="Arial" w:eastAsia="Arial" w:hAnsi="Arial"/>
          <w:color w:val="333333"/>
          <w:sz w:val="22"/>
          <w:szCs w:val="22"/>
        </w:rPr>
        <w:t xml:space="preserve">Rate limiting sur les API publiques pour prévenir les abus</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5.2 SEO &amp; accessibilité</w:t>
      </w:r>
    </w:p>
    <w:p>
      <w:pPr>
        <w:pStyle w:val="ListParagraph"/>
        <w:numPr>
          <w:ilvl w:val="0"/>
          <w:numId w:val="2"/>
        </w:numPr>
        <w:spacing w:after="60" w:before="60"/>
      </w:pPr>
      <w:r>
        <w:rPr>
          <w:rFonts w:ascii="Arial" w:cs="Arial" w:eastAsia="Arial" w:hAnsi="Arial"/>
          <w:color w:val="333333"/>
          <w:sz w:val="22"/>
          <w:szCs w:val="22"/>
        </w:rPr>
        <w:t xml:space="preserve">Métadonnées Open Graph et Twitter Card sur chaque article</w:t>
      </w:r>
    </w:p>
    <w:p>
      <w:pPr>
        <w:pStyle w:val="ListParagraph"/>
        <w:numPr>
          <w:ilvl w:val="0"/>
          <w:numId w:val="2"/>
        </w:numPr>
        <w:spacing w:after="60" w:before="60"/>
      </w:pPr>
      <w:r>
        <w:rPr>
          <w:rFonts w:ascii="Arial" w:cs="Arial" w:eastAsia="Arial" w:hAnsi="Arial"/>
          <w:color w:val="333333"/>
          <w:sz w:val="22"/>
          <w:szCs w:val="22"/>
        </w:rPr>
        <w:t xml:space="preserve">Sitemap.xml généré dynamiquement et soumis à Google Search Console</w:t>
      </w:r>
    </w:p>
    <w:p>
      <w:pPr>
        <w:pStyle w:val="ListParagraph"/>
        <w:numPr>
          <w:ilvl w:val="0"/>
          <w:numId w:val="2"/>
        </w:numPr>
        <w:spacing w:after="60" w:before="60"/>
      </w:pPr>
      <w:r>
        <w:rPr>
          <w:rFonts w:ascii="Arial" w:cs="Arial" w:eastAsia="Arial" w:hAnsi="Arial"/>
          <w:color w:val="333333"/>
          <w:sz w:val="22"/>
          <w:szCs w:val="22"/>
        </w:rPr>
        <w:t xml:space="preserve">Données structurées JSON-LD (schema.org Article, BreadcrumbList)</w:t>
      </w:r>
    </w:p>
    <w:p>
      <w:pPr>
        <w:pStyle w:val="ListParagraph"/>
        <w:numPr>
          <w:ilvl w:val="0"/>
          <w:numId w:val="2"/>
        </w:numPr>
        <w:spacing w:after="60" w:before="60"/>
      </w:pPr>
      <w:r>
        <w:rPr>
          <w:rFonts w:ascii="Arial" w:cs="Arial" w:eastAsia="Arial" w:hAnsi="Arial"/>
          <w:color w:val="333333"/>
          <w:sz w:val="22"/>
          <w:szCs w:val="22"/>
        </w:rPr>
        <w:t xml:space="preserve">Conformité WCAG 2.1 niveau AA pour l'accessibilité</w:t>
      </w:r>
    </w:p>
    <w:p>
      <w:pPr>
        <w:pStyle w:val="ListParagraph"/>
        <w:numPr>
          <w:ilvl w:val="0"/>
          <w:numId w:val="2"/>
        </w:numPr>
        <w:spacing w:after="60" w:before="60"/>
      </w:pPr>
      <w:r>
        <w:rPr>
          <w:rFonts w:ascii="Arial" w:cs="Arial" w:eastAsia="Arial" w:hAnsi="Arial"/>
          <w:color w:val="333333"/>
          <w:sz w:val="22"/>
          <w:szCs w:val="22"/>
        </w:rPr>
        <w:t xml:space="preserve">Support du mode sombre (dark mode) natif via prefers-color-scheme</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5.3 Maintenance et évolutivité</w:t>
      </w:r>
    </w:p>
    <w:p>
      <w:pPr>
        <w:pStyle w:val="ListParagraph"/>
        <w:numPr>
          <w:ilvl w:val="0"/>
          <w:numId w:val="2"/>
        </w:numPr>
        <w:spacing w:after="60" w:before="60"/>
      </w:pPr>
      <w:r>
        <w:rPr>
          <w:rFonts w:ascii="Arial" w:cs="Arial" w:eastAsia="Arial" w:hAnsi="Arial"/>
          <w:color w:val="333333"/>
          <w:sz w:val="22"/>
          <w:szCs w:val="22"/>
        </w:rPr>
        <w:t xml:space="preserve">Documentation technique maintenue à jour (README, ADRs)</w:t>
      </w:r>
    </w:p>
    <w:p>
      <w:pPr>
        <w:pStyle w:val="ListParagraph"/>
        <w:numPr>
          <w:ilvl w:val="0"/>
          <w:numId w:val="2"/>
        </w:numPr>
        <w:spacing w:after="60" w:before="60"/>
      </w:pPr>
      <w:r>
        <w:rPr>
          <w:rFonts w:ascii="Arial" w:cs="Arial" w:eastAsia="Arial" w:hAnsi="Arial"/>
          <w:color w:val="333333"/>
          <w:sz w:val="22"/>
          <w:szCs w:val="22"/>
        </w:rPr>
        <w:t xml:space="preserve">Tests unitaires sur les composants critiques (couverture &gt; 70%)</w:t>
      </w:r>
    </w:p>
    <w:p>
      <w:pPr>
        <w:pStyle w:val="ListParagraph"/>
        <w:numPr>
          <w:ilvl w:val="0"/>
          <w:numId w:val="2"/>
        </w:numPr>
        <w:spacing w:after="60" w:before="60"/>
      </w:pPr>
      <w:r>
        <w:rPr>
          <w:rFonts w:ascii="Arial" w:cs="Arial" w:eastAsia="Arial" w:hAnsi="Arial"/>
          <w:color w:val="333333"/>
          <w:sz w:val="22"/>
          <w:szCs w:val="22"/>
        </w:rPr>
        <w:t xml:space="preserve">Gestion des erreurs et logging centralisé (Sentry ou équivalent)</w:t>
      </w:r>
    </w:p>
    <w:p>
      <w:pPr>
        <w:pStyle w:val="ListParagraph"/>
        <w:numPr>
          <w:ilvl w:val="0"/>
          <w:numId w:val="2"/>
        </w:numPr>
        <w:spacing w:after="60" w:before="60"/>
      </w:pPr>
      <w:r>
        <w:rPr>
          <w:rFonts w:ascii="Arial" w:cs="Arial" w:eastAsia="Arial" w:hAnsi="Arial"/>
          <w:color w:val="333333"/>
          <w:sz w:val="22"/>
          <w:szCs w:val="22"/>
        </w:rPr>
        <w:t xml:space="preserve">Architecture modulaire permettant l'ajout de nouvelles rubriques sans refonte</w:t>
      </w:r>
    </w:p>
    <w:p>
      <w:r>
        <w:br w:type="page"/>
      </w:r>
    </w:p>
    <w:p>
      <w:pPr>
        <w:pStyle w:val="Heading1"/>
        <w:spacing w:after="200" w:before="400"/>
      </w:pPr>
      <w:r>
        <w:rPr>
          <w:rFonts w:ascii="Arial" w:cs="Arial" w:eastAsia="Arial" w:hAnsi="Arial"/>
          <w:b/>
          <w:bCs/>
          <w:color w:val="1A3A5C"/>
          <w:sz w:val="32"/>
          <w:szCs w:val="32"/>
        </w:rPr>
        <w:t xml:space="preserve">6. Conditions commerciales</w:t>
      </w:r>
    </w:p>
    <w:p>
      <w:pPr>
        <w:pBdr>
          <w:bottom w:val="single" w:color="D5E8F0" w:sz="4" w:space="1"/>
        </w:pBdr>
        <w:spacing w:after="120" w:before="120"/>
      </w:pPr>
      <w:r>
        <w:t xml:space="preserve"/>
      </w:r>
    </w:p>
    <w:p>
      <w:pPr>
        <w:pStyle w:val="Heading2"/>
        <w:spacing w:after="160" w:before="300"/>
      </w:pPr>
      <w:r>
        <w:rPr>
          <w:rFonts w:ascii="Arial" w:cs="Arial" w:eastAsia="Arial" w:hAnsi="Arial"/>
          <w:b/>
          <w:bCs/>
          <w:color w:val="2E6EA6"/>
          <w:sz w:val="26"/>
          <w:szCs w:val="26"/>
        </w:rPr>
        <w:t xml:space="preserve">6.1 Budget prévisionnel</w:t>
      </w:r>
    </w:p>
    <w:p>
      <w:pPr>
        <w:spacing w:after="80" w:before="80"/>
        <w:jc w:val="left"/>
      </w:pPr>
      <w:r>
        <w:rPr>
          <w:rFonts w:ascii="Arial" w:cs="Arial" w:eastAsia="Arial" w:hAnsi="Arial"/>
          <w:color w:val="333333"/>
          <w:sz w:val="22"/>
          <w:szCs w:val="22"/>
        </w:rPr>
        <w:t xml:space="preserve">Le budget ci-dessous est indicatif et sera affiné lors du cadrage.</w:t>
      </w:r>
    </w:p>
    <w:p>
      <w:pPr>
        <w:spacing w:after="0" w:before="0"/>
      </w:pPr>
      <w:r>
        <w:rPr>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000"/>
        <w:gridCol w:w="2513"/>
      </w:tblGrid>
      <w:tr>
        <w:trPr>
          <w:tblHeader/>
        </w:trPr>
        <w:tc>
          <w:tcPr>
            <w:tcW w:type="dxa" w:w="4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Poste</w:t>
            </w:r>
          </w:p>
        </w:tc>
        <w:tc>
          <w:tcPr>
            <w:tcW w:type="dxa" w:w="2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Estimation (jours)</w:t>
            </w:r>
          </w:p>
        </w:tc>
        <w:tc>
          <w:tcPr>
            <w:tcW w:type="dxa" w:w="2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Coût HT estimé</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Phase 1 — Fondations &amp; stack</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10 j</w:t>
            </w:r>
          </w:p>
        </w:tc>
        <w:tc>
          <w:tcPr>
            <w:tcW w:type="dxa" w:w="2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[À définir]</w:t>
            </w:r>
          </w:p>
        </w:tc>
      </w:tr>
      <w:tr>
        <w:tc>
          <w:tcPr>
            <w:tcW w:type="dxa" w:w="4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Phase 2 — Lecture &amp; navigation</w:t>
            </w:r>
          </w:p>
        </w:tc>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15 j</w:t>
            </w:r>
          </w:p>
        </w:tc>
        <w:tc>
          <w:tcPr>
            <w:tcW w:type="dxa" w:w="2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[À définir]</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Phase 3 — CMS &amp; publication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15 j</w:t>
            </w:r>
          </w:p>
        </w:tc>
        <w:tc>
          <w:tcPr>
            <w:tcW w:type="dxa" w:w="2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[À définir]</w:t>
            </w:r>
          </w:p>
        </w:tc>
      </w:tr>
      <w:tr>
        <w:tc>
          <w:tcPr>
            <w:tcW w:type="dxa" w:w="4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Phase 4 — Monétisation &amp; croissance</w:t>
            </w:r>
          </w:p>
        </w:tc>
        <w:tc>
          <w:tcPr>
            <w:tcW w:type="dxa" w:w="2000"/>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20 j</w:t>
            </w:r>
          </w:p>
        </w:tc>
        <w:tc>
          <w:tcPr>
            <w:tcW w:type="dxa" w:w="2513"/>
            <w:tcBorders>
              <w:top w:val="single" w:color="CCCCCC" w:sz="1"/>
              <w:left w:val="single" w:color="CCCCCC" w:sz="1"/>
              <w:bottom w:val="single" w:color="CCCCCC" w:sz="1"/>
              <w:right w:val="single" w:color="CCCCCC" w:sz="1"/>
            </w:tcBorders>
            <w:shd w:fill="F0F4F8" w:val="clear"/>
            <w:tcMar>
              <w:top w:type="dxa" w:w="80"/>
              <w:left w:type="dxa" w:w="120"/>
              <w:bottom w:type="dxa" w:w="80"/>
              <w:right w:type="dxa" w:w="120"/>
            </w:tcMar>
          </w:tcPr>
          <w:p>
            <w:r>
              <w:rPr>
                <w:rFonts w:ascii="Arial" w:cs="Arial" w:eastAsia="Arial" w:hAnsi="Arial"/>
                <w:color w:val="333333"/>
                <w:sz w:val="20"/>
                <w:szCs w:val="20"/>
              </w:rPr>
              <w:t xml:space="preserve">[À définir]</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Recette, tests &amp; mise en production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5 j</w:t>
            </w:r>
          </w:p>
        </w:tc>
        <w:tc>
          <w:tcPr>
            <w:tcW w:type="dxa" w:w="2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333333"/>
                <w:sz w:val="20"/>
                <w:szCs w:val="20"/>
              </w:rPr>
              <w:t xml:space="preserve">[À définir]</w:t>
            </w:r>
          </w:p>
        </w:tc>
      </w:tr>
      <w:tr>
        <w:tc>
          <w:tcPr>
            <w:tcW w:type="dxa" w:w="4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tcPr>
          <w:p>
            <w:r>
              <w:rPr>
                <w:rFonts w:ascii="Arial" w:cs="Arial" w:eastAsia="Arial" w:hAnsi="Arial"/>
                <w:b/>
                <w:bCs/>
                <w:color w:val="FFFFFF"/>
                <w:sz w:val="22"/>
                <w:szCs w:val="22"/>
              </w:rPr>
              <w:t xml:space="preserve">TOTAL</w:t>
            </w:r>
          </w:p>
        </w:tc>
        <w:tc>
          <w:tcPr>
            <w:tcW w:type="dxa" w:w="2000"/>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tcPr>
          <w:p>
            <w:r>
              <w:rPr>
                <w:rFonts w:ascii="Arial" w:cs="Arial" w:eastAsia="Arial" w:hAnsi="Arial"/>
                <w:b/>
                <w:bCs/>
                <w:color w:val="FFFFFF"/>
                <w:sz w:val="22"/>
                <w:szCs w:val="22"/>
              </w:rPr>
              <w:t xml:space="preserve">65 j</w:t>
            </w:r>
          </w:p>
        </w:tc>
        <w:tc>
          <w:tcPr>
            <w:tcW w:type="dxa" w:w="2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tcPr>
          <w:p>
            <w:r>
              <w:rPr>
                <w:rFonts w:ascii="Arial" w:cs="Arial" w:eastAsia="Arial" w:hAnsi="Arial"/>
                <w:b/>
                <w:bCs/>
                <w:color w:val="FFFFFF"/>
                <w:sz w:val="22"/>
                <w:szCs w:val="22"/>
              </w:rPr>
              <w:t xml:space="preserve">[À définir]</w:t>
            </w:r>
          </w:p>
        </w:tc>
      </w:tr>
    </w:tbl>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6.2 Modalités de paiement</w:t>
      </w:r>
    </w:p>
    <w:p>
      <w:pPr>
        <w:pStyle w:val="ListParagraph"/>
        <w:numPr>
          <w:ilvl w:val="0"/>
          <w:numId w:val="2"/>
        </w:numPr>
        <w:spacing w:after="60" w:before="60"/>
      </w:pPr>
      <w:r>
        <w:rPr>
          <w:rFonts w:ascii="Arial" w:cs="Arial" w:eastAsia="Arial" w:hAnsi="Arial"/>
          <w:color w:val="333333"/>
          <w:sz w:val="22"/>
          <w:szCs w:val="22"/>
        </w:rPr>
        <w:t xml:space="preserve">30% à la signature du bon de commande</w:t>
      </w:r>
    </w:p>
    <w:p>
      <w:pPr>
        <w:pStyle w:val="ListParagraph"/>
        <w:numPr>
          <w:ilvl w:val="0"/>
          <w:numId w:val="2"/>
        </w:numPr>
        <w:spacing w:after="60" w:before="60"/>
      </w:pPr>
      <w:r>
        <w:rPr>
          <w:rFonts w:ascii="Arial" w:cs="Arial" w:eastAsia="Arial" w:hAnsi="Arial"/>
          <w:color w:val="333333"/>
          <w:sz w:val="22"/>
          <w:szCs w:val="22"/>
        </w:rPr>
        <w:t xml:space="preserve">40% à la livraison de la Phase 2 (frontend public)</w:t>
      </w:r>
    </w:p>
    <w:p>
      <w:pPr>
        <w:pStyle w:val="ListParagraph"/>
        <w:numPr>
          <w:ilvl w:val="0"/>
          <w:numId w:val="2"/>
        </w:numPr>
        <w:spacing w:after="60" w:before="60"/>
      </w:pPr>
      <w:r>
        <w:rPr>
          <w:rFonts w:ascii="Arial" w:cs="Arial" w:eastAsia="Arial" w:hAnsi="Arial"/>
          <w:color w:val="333333"/>
          <w:sz w:val="22"/>
          <w:szCs w:val="22"/>
        </w:rPr>
        <w:t xml:space="preserve">30% à la livraison finale et mise en production</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6.3 Propriété intellectuelle</w:t>
      </w:r>
    </w:p>
    <w:p>
      <w:pPr>
        <w:spacing w:after="80" w:before="80"/>
        <w:jc w:val="both"/>
      </w:pPr>
      <w:r>
        <w:rPr>
          <w:rFonts w:ascii="Arial" w:cs="Arial" w:eastAsia="Arial" w:hAnsi="Arial"/>
          <w:color w:val="333333"/>
          <w:sz w:val="22"/>
          <w:szCs w:val="22"/>
        </w:rPr>
        <w:t xml:space="preserve">À la livraison finale et règlement complet, le client acquiert la pleine propriété du code source spécifique au projet. Les bibliothèques open-source utilisées restent soumises à leurs licences respectives. Le prestataire conserve le droit de mentionner la réalisation dans son portfolio.</w:t>
      </w:r>
    </w:p>
    <w:p>
      <w:pPr>
        <w:spacing w:after="0" w:before="0"/>
      </w:pPr>
      <w:r>
        <w:rPr>
          <w:sz w:val="22"/>
          <w:szCs w:val="22"/>
        </w:rPr>
        <w:t xml:space="preserve"/>
      </w:r>
    </w:p>
    <w:p>
      <w:pPr>
        <w:pStyle w:val="Heading2"/>
        <w:spacing w:after="160" w:before="300"/>
      </w:pPr>
      <w:r>
        <w:rPr>
          <w:rFonts w:ascii="Arial" w:cs="Arial" w:eastAsia="Arial" w:hAnsi="Arial"/>
          <w:b/>
          <w:bCs/>
          <w:color w:val="2E6EA6"/>
          <w:sz w:val="26"/>
          <w:szCs w:val="26"/>
        </w:rPr>
        <w:t xml:space="preserve">6.4 Garantie &amp; maintenance</w:t>
      </w:r>
    </w:p>
    <w:p>
      <w:pPr>
        <w:pStyle w:val="ListParagraph"/>
        <w:numPr>
          <w:ilvl w:val="0"/>
          <w:numId w:val="2"/>
        </w:numPr>
        <w:spacing w:after="60" w:before="60"/>
      </w:pPr>
      <w:r>
        <w:rPr>
          <w:rFonts w:ascii="Arial" w:cs="Arial" w:eastAsia="Arial" w:hAnsi="Arial"/>
          <w:color w:val="333333"/>
          <w:sz w:val="22"/>
          <w:szCs w:val="22"/>
        </w:rPr>
        <w:t xml:space="preserve">Garantie de 30 jours après livraison couvrant les bugs et anomalies de fonctionnement.</w:t>
      </w:r>
    </w:p>
    <w:p>
      <w:pPr>
        <w:pStyle w:val="ListParagraph"/>
        <w:numPr>
          <w:ilvl w:val="0"/>
          <w:numId w:val="2"/>
        </w:numPr>
        <w:spacing w:after="60" w:before="60"/>
      </w:pPr>
      <w:r>
        <w:rPr>
          <w:rFonts w:ascii="Arial" w:cs="Arial" w:eastAsia="Arial" w:hAnsi="Arial"/>
          <w:color w:val="333333"/>
          <w:sz w:val="22"/>
          <w:szCs w:val="22"/>
        </w:rPr>
        <w:t xml:space="preserve">Maintenance corrective et évolutive disponible sur devis séparé après la garantie.</w:t>
      </w:r>
    </w:p>
    <w:p>
      <w:pPr>
        <w:spacing w:after="0" w:before="0"/>
      </w:pPr>
      <w:r>
        <w:rPr>
          <w:sz w:val="22"/>
          <w:szCs w:val="22"/>
        </w:rPr>
        <w:t xml:space="preserve"/>
      </w:r>
    </w:p>
    <w:p>
      <w:pPr>
        <w:pBdr>
          <w:bottom w:val="single" w:color="D5E8F0" w:sz="4" w:space="1"/>
        </w:pBdr>
        <w:spacing w:after="120" w:before="120"/>
      </w:pPr>
      <w:r>
        <w:t xml:space="preserve"/>
      </w:r>
    </w:p>
    <w:p>
      <w:pPr>
        <w:spacing w:after="0" w:before="0"/>
      </w:pPr>
      <w:r>
        <w:rPr>
          <w:sz w:val="22"/>
          <w:szCs w:val="22"/>
        </w:rPr>
        <w:t xml:space="preserve"/>
      </w:r>
    </w:p>
    <w:p>
      <w:pPr>
        <w:spacing w:after="80" w:before="80"/>
        <w:jc w:val="left"/>
      </w:pPr>
      <w:r>
        <w:rPr>
          <w:rFonts w:ascii="Arial" w:cs="Arial" w:eastAsia="Arial" w:hAnsi="Arial"/>
          <w:i/>
          <w:iCs/>
          <w:color w:val="666666"/>
          <w:sz w:val="22"/>
          <w:szCs w:val="22"/>
        </w:rPr>
        <w:t xml:space="preserve">Document soumis à validation — toute modification fera l'objet d'un avenant signé par les deux parties.</w:t>
      </w:r>
    </w:p>
    <w:p>
      <w:pPr>
        <w:spacing w:after="0" w:before="0"/>
      </w:pPr>
      <w:r>
        <w:rPr>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Le Client</w:t>
            </w:r>
          </w:p>
        </w:tc>
        <w:tc>
          <w:tcPr>
            <w:tcW w:type="dxa" w:w="4513"/>
            <w:tcBorders>
              <w:top w:val="single" w:color="CCCCCC" w:sz="1"/>
              <w:left w:val="single" w:color="CCCCCC" w:sz="1"/>
              <w:bottom w:val="single" w:color="CCCCCC" w:sz="1"/>
              <w:right w:val="single" w:color="CCCCCC" w:sz="1"/>
            </w:tcBorders>
            <w:shd w:fill="1A3A5C" w:val="clear"/>
            <w:tcMar>
              <w:top w:type="dxa" w:w="100"/>
              <w:left w:type="dxa" w:w="120"/>
              <w:bottom w:type="dxa" w:w="100"/>
              <w:right w:type="dxa" w:w="120"/>
            </w:tcMar>
            <w:vAlign w:val="center"/>
          </w:tcPr>
          <w:p>
            <w:pPr>
              <w:jc w:val="left"/>
            </w:pPr>
            <w:r>
              <w:rPr>
                <w:rFonts w:ascii="Arial" w:cs="Arial" w:eastAsia="Arial" w:hAnsi="Arial"/>
                <w:b/>
                <w:bCs/>
                <w:color w:val="FFFFFF"/>
                <w:sz w:val="20"/>
                <w:szCs w:val="20"/>
              </w:rPr>
              <w:t xml:space="preserve">Le Prestataire</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300"/>
              <w:right w:type="dxa" w:w="120"/>
            </w:tcMar>
          </w:tcPr>
          <w:p>
            <w:r>
              <w:rPr>
                <w:rFonts w:ascii="Arial" w:cs="Arial" w:eastAsia="Arial" w:hAnsi="Arial"/>
                <w:color w:val="666666"/>
                <w:sz w:val="20"/>
                <w:szCs w:val="20"/>
              </w:rPr>
              <w:t xml:space="preserve">Nom, date et signature :</w:t>
            </w:r>
          </w:p>
        </w:tc>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300"/>
              <w:right w:type="dxa" w:w="120"/>
            </w:tcMar>
          </w:tcPr>
          <w:p>
            <w:r>
              <w:rPr>
                <w:rFonts w:ascii="Arial" w:cs="Arial" w:eastAsia="Arial" w:hAnsi="Arial"/>
                <w:color w:val="666666"/>
                <w:sz w:val="20"/>
                <w:szCs w:val="20"/>
              </w:rPr>
              <w:t xml:space="preserve">Nom, date et signature :</w:t>
            </w:r>
          </w:p>
        </w:tc>
      </w:tr>
    </w:tbl>
    <w:sectPr>
      <w:headerReference w:type="default" r:id="rId7"/>
      <w:footerReference w:type="default" r:id="rId8"/>
      <w:pgSz w:w="11906" w:h="16838"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E8F0" w:sz="4" w:space="1"/>
      </w:pBdr>
      <w:tabs>
        <w:tab w:val="right" w:pos="9026"/>
      </w:tabs>
      <w:spacing w:after="0" w:before="120"/>
    </w:pPr>
    <w:r>
      <w:rPr>
        <w:rFonts w:ascii="Arial" w:cs="Arial" w:eastAsia="Arial" w:hAnsi="Arial"/>
        <w:color w:val="666666"/>
        <w:sz w:val="18"/>
        <w:szCs w:val="18"/>
      </w:rPr>
      <w:t xml:space="preserve">v1.0 — avril 2026</w:t>
    </w:r>
    <w:r>
      <w:rPr>
        <w:rFonts w:ascii="Arial" w:cs="Arial" w:eastAsia="Arial" w:hAnsi="Arial"/>
        <w:sz w:val="18"/>
        <w:szCs w:val="18"/>
      </w:rPr>
      <w:t xml:space="preserve">	</w:t>
    </w:r>
    <w:r>
      <w:rPr>
        <w:rFonts w:ascii="Arial" w:cs="Arial" w:eastAsia="Arial" w:hAnsi="Arial"/>
        <w:color w:val="666666"/>
        <w:sz w:val="18"/>
        <w:szCs w:val="18"/>
      </w:rPr>
      <w:t xml:space="preserve">Page </w:t>
    </w:r>
    <w:r>
      <w:rPr>
        <w:rFonts w:ascii="Arial" w:cs="Arial" w:eastAsia="Arial" w:hAnsi="Arial"/>
        <w:color w:val="666666"/>
        <w:sz w:val="18"/>
        <w:szCs w:val="18"/>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E8F0" w:sz="4" w:space="1"/>
      </w:pBdr>
      <w:tabs>
        <w:tab w:val="right" w:pos="9026"/>
      </w:tabs>
      <w:spacing w:after="120" w:before="0"/>
    </w:pPr>
    <w:r>
      <w:rPr>
        <w:rFonts w:ascii="Arial" w:cs="Arial" w:eastAsia="Arial" w:hAnsi="Arial"/>
        <w:color w:val="666666"/>
        <w:sz w:val="18"/>
        <w:szCs w:val="18"/>
      </w:rPr>
      <w:t xml:space="preserve">Cahier des Charges — Média Web</w:t>
    </w:r>
    <w:r>
      <w:rPr>
        <w:rFonts w:ascii="Arial" w:cs="Arial" w:eastAsia="Arial" w:hAnsi="Arial"/>
        <w:sz w:val="18"/>
        <w:szCs w:val="18"/>
      </w:rPr>
      <w:t xml:space="preserve">	</w:t>
    </w:r>
    <w:r>
      <w:rPr>
        <w:rFonts w:ascii="Arial" w:cs="Arial" w:eastAsia="Arial" w:hAnsi="Arial"/>
        <w:i/>
        <w:iCs/>
        <w:color w:val="666666"/>
        <w:sz w:val="18"/>
        <w:szCs w:val="18"/>
      </w:rPr>
      <w:t xml:space="preserve">Confidentiel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1A3A5C"/>
      <w:sz w:val="32"/>
      <w:szCs w:val="32"/>
    </w:rPr>
  </w:style>
  <w:style w:type="paragraph" w:styleId="Heading2">
    <w:name w:val="Heading 2"/>
    <w:basedOn w:val="Normal"/>
    <w:next w:val="Normal"/>
    <w:qFormat/>
    <w:pPr>
      <w:spacing w:after="160" w:before="300"/>
      <w:outlineLvl w:val="1"/>
    </w:pPr>
    <w:rPr>
      <w:rFonts w:ascii="Arial" w:cs="Arial" w:eastAsia="Arial" w:hAnsi="Arial"/>
      <w:b/>
      <w:bCs/>
      <w:color w:val="2E6EA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2026-04-03T18:28:08.219Z</dcterms:created>
  <dcterms:modified xsi:type="dcterms:W3CDTF">2026-04-03T18:28:08.219Z</dcterms:modified>
</cp:coreProperties>
</file>

<file path=docProps/custom.xml><?xml version="1.0" encoding="utf-8"?>
<Properties xmlns="http://schemas.openxmlformats.org/officeDocument/2006/custom-properties" xmlns:vt="http://schemas.openxmlformats.org/officeDocument/2006/docPropsVTypes"/>
</file>